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D4C5E" w14:textId="77777777" w:rsidR="000961A2" w:rsidRDefault="000961A2">
      <w:pPr>
        <w:keepNext/>
        <w:pBdr>
          <w:top w:val="nil"/>
          <w:left w:val="nil"/>
          <w:bottom w:val="nil"/>
          <w:right w:val="nil"/>
          <w:between w:val="nil"/>
        </w:pBdr>
        <w:ind w:left="0"/>
        <w:jc w:val="left"/>
        <w:rPr>
          <w:rFonts w:eastAsia="Arial"/>
          <w:b/>
          <w:color w:val="000000"/>
          <w:sz w:val="32"/>
          <w:szCs w:val="32"/>
        </w:rPr>
      </w:pPr>
      <w:bookmarkStart w:id="0" w:name="_GoBack"/>
      <w:bookmarkEnd w:id="0"/>
    </w:p>
    <w:p w14:paraId="619D4C5F" w14:textId="77777777" w:rsidR="000961A2" w:rsidRDefault="0041703E">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8 (Business Continuity and Disaster Recovery)</w:t>
      </w:r>
    </w:p>
    <w:p w14:paraId="619D4C60" w14:textId="77777777"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1" w:name="_heading=h.gjdgxs"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14:paraId="619D4C61" w14:textId="77777777"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tbl>
      <w:tblPr>
        <w:tblStyle w:val="a"/>
        <w:tblW w:w="8172" w:type="dxa"/>
        <w:tblInd w:w="1008" w:type="dxa"/>
        <w:tblLayout w:type="fixed"/>
        <w:tblLook w:val="0400" w:firstRow="0" w:lastRow="0" w:firstColumn="0" w:lastColumn="0" w:noHBand="0" w:noVBand="1"/>
      </w:tblPr>
      <w:tblGrid>
        <w:gridCol w:w="3097"/>
        <w:gridCol w:w="5075"/>
      </w:tblGrid>
      <w:tr w:rsidR="000961A2" w14:paraId="619D4C64" w14:textId="77777777">
        <w:tc>
          <w:tcPr>
            <w:tcW w:w="3097" w:type="dxa"/>
          </w:tcPr>
          <w:p w14:paraId="619D4C62" w14:textId="77777777"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"BCDR Plan"</w:t>
            </w:r>
          </w:p>
        </w:tc>
        <w:tc>
          <w:tcPr>
            <w:tcW w:w="5075" w:type="dxa"/>
          </w:tcPr>
          <w:p w14:paraId="619D4C63" w14:textId="77777777"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2.2 of this Schedule;</w:t>
            </w:r>
          </w:p>
        </w:tc>
      </w:tr>
      <w:tr w:rsidR="000961A2" w14:paraId="619D4C67" w14:textId="77777777">
        <w:tc>
          <w:tcPr>
            <w:tcW w:w="3097" w:type="dxa"/>
          </w:tcPr>
          <w:p w14:paraId="619D4C65" w14:textId="77777777"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"Business Continuity Plan"</w:t>
            </w:r>
          </w:p>
        </w:tc>
        <w:tc>
          <w:tcPr>
            <w:tcW w:w="5075" w:type="dxa"/>
          </w:tcPr>
          <w:p w14:paraId="619D4C66" w14:textId="77777777"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2.3.2 of this Schedule;</w:t>
            </w:r>
          </w:p>
        </w:tc>
      </w:tr>
      <w:tr w:rsidR="000961A2" w14:paraId="619D4C6A" w14:textId="77777777">
        <w:tc>
          <w:tcPr>
            <w:tcW w:w="3097" w:type="dxa"/>
          </w:tcPr>
          <w:p w14:paraId="619D4C68" w14:textId="77777777"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w:t>
            </w:r>
          </w:p>
        </w:tc>
        <w:tc>
          <w:tcPr>
            <w:tcW w:w="5075" w:type="dxa"/>
          </w:tcPr>
          <w:p w14:paraId="619D4C69" w14:textId="77777777"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bookmarkStart w:id="2" w:name="_heading=h.30j0zll" w:colFirst="0" w:colLast="0"/>
            <w:bookmarkEnd w:id="2"/>
            <w:r>
              <w:rPr>
                <w:rFonts w:eastAsia="Arial"/>
                <w:color w:val="000000"/>
                <w:sz w:val="24"/>
                <w:szCs w:val="24"/>
              </w:rPr>
              <w:t>the occurrence of one or more events which, either separately or cumulatively, mean that the Deliverables, or a material part thereof will be unavailable (or could reasonably be anticipated to be unavailable);</w:t>
            </w:r>
          </w:p>
        </w:tc>
      </w:tr>
      <w:tr w:rsidR="000961A2" w14:paraId="619D4C6D" w14:textId="77777777">
        <w:tc>
          <w:tcPr>
            <w:tcW w:w="3097" w:type="dxa"/>
          </w:tcPr>
          <w:p w14:paraId="619D4C6B" w14:textId="77777777"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Deliverables"</w:t>
            </w:r>
          </w:p>
        </w:tc>
        <w:tc>
          <w:tcPr>
            <w:tcW w:w="5075" w:type="dxa"/>
          </w:tcPr>
          <w:p w14:paraId="619D4C6C" w14:textId="77777777" w:rsidR="000961A2" w:rsidRDefault="0041703E">
            <w:pPr>
              <w:numPr>
                <w:ilvl w:val="0"/>
                <w:numId w:val="2"/>
              </w:numPr>
              <w:pBdr>
                <w:top w:val="nil"/>
                <w:left w:val="nil"/>
                <w:bottom w:val="nil"/>
                <w:right w:val="nil"/>
                <w:between w:val="nil"/>
              </w:pBdr>
              <w:tabs>
                <w:tab w:val="left" w:pos="-9"/>
                <w:tab w:val="left" w:pos="-179"/>
              </w:tabs>
              <w:spacing w:after="120"/>
              <w:jc w:val="left"/>
              <w:rPr>
                <w:rFonts w:eastAsia="Arial"/>
                <w:color w:val="000000"/>
                <w:sz w:val="24"/>
                <w:szCs w:val="24"/>
              </w:rPr>
            </w:pPr>
            <w:r>
              <w:rPr>
                <w:rFonts w:eastAsia="Arial"/>
                <w:color w:val="000000"/>
                <w:sz w:val="24"/>
                <w:szCs w:val="24"/>
              </w:rPr>
              <w:t>the Deliverables embodied in the processes and procedures for restoring the provision of Deliverables following the occurrence of a Disaster;</w:t>
            </w:r>
          </w:p>
        </w:tc>
      </w:tr>
      <w:tr w:rsidR="000961A2" w14:paraId="619D4C70" w14:textId="77777777">
        <w:tc>
          <w:tcPr>
            <w:tcW w:w="3097" w:type="dxa"/>
          </w:tcPr>
          <w:p w14:paraId="619D4C6E" w14:textId="77777777"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Plan"</w:t>
            </w:r>
          </w:p>
        </w:tc>
        <w:tc>
          <w:tcPr>
            <w:tcW w:w="5075" w:type="dxa"/>
          </w:tcPr>
          <w:p w14:paraId="619D4C6F" w14:textId="77777777"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2.3.3 of this Schedule;</w:t>
            </w:r>
          </w:p>
        </w:tc>
      </w:tr>
      <w:tr w:rsidR="000961A2" w14:paraId="619D4C73" w14:textId="77777777">
        <w:tc>
          <w:tcPr>
            <w:tcW w:w="3097" w:type="dxa"/>
          </w:tcPr>
          <w:p w14:paraId="619D4C71" w14:textId="77777777"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"Disaster Recovery System"</w:t>
            </w:r>
          </w:p>
        </w:tc>
        <w:tc>
          <w:tcPr>
            <w:tcW w:w="5075" w:type="dxa"/>
          </w:tcPr>
          <w:p w14:paraId="619D4C72" w14:textId="77777777"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system embodied in the processes and procedures for restoring the provision of Deliverables following the occurrence of a Disaster;</w:t>
            </w:r>
          </w:p>
        </w:tc>
      </w:tr>
      <w:tr w:rsidR="000961A2" w14:paraId="619D4C76" w14:textId="77777777">
        <w:trPr>
          <w:trHeight w:val="567"/>
        </w:trPr>
        <w:tc>
          <w:tcPr>
            <w:tcW w:w="3097" w:type="dxa"/>
          </w:tcPr>
          <w:p w14:paraId="619D4C74" w14:textId="77777777"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"Related Supplier"</w:t>
            </w:r>
          </w:p>
        </w:tc>
        <w:tc>
          <w:tcPr>
            <w:tcW w:w="5075" w:type="dxa"/>
          </w:tcPr>
          <w:p w14:paraId="619D4C75" w14:textId="77777777"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any person who provides Deliverables to the Buyer which are related to the Deliverables from time to time;</w:t>
            </w:r>
          </w:p>
        </w:tc>
      </w:tr>
      <w:tr w:rsidR="000961A2" w14:paraId="619D4C79" w14:textId="77777777">
        <w:trPr>
          <w:trHeight w:val="567"/>
        </w:trPr>
        <w:tc>
          <w:tcPr>
            <w:tcW w:w="3097" w:type="dxa"/>
          </w:tcPr>
          <w:p w14:paraId="619D4C77" w14:textId="77777777"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"Review Report"</w:t>
            </w:r>
          </w:p>
        </w:tc>
        <w:tc>
          <w:tcPr>
            <w:tcW w:w="5075" w:type="dxa"/>
          </w:tcPr>
          <w:p w14:paraId="619D4C78" w14:textId="77777777"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 and</w:t>
            </w:r>
          </w:p>
        </w:tc>
      </w:tr>
      <w:tr w:rsidR="000961A2" w14:paraId="619D4C7C" w14:textId="77777777">
        <w:tc>
          <w:tcPr>
            <w:tcW w:w="3097" w:type="dxa"/>
          </w:tcPr>
          <w:p w14:paraId="619D4C7A" w14:textId="77777777" w:rsidR="000961A2" w:rsidRDefault="0041703E">
            <w:pPr>
              <w:pBdr>
                <w:top w:val="nil"/>
                <w:left w:val="nil"/>
                <w:bottom w:val="nil"/>
                <w:right w:val="nil"/>
                <w:between w:val="nil"/>
              </w:pBdr>
              <w:spacing w:after="120"/>
              <w:ind w:left="-108"/>
              <w:jc w:val="left"/>
              <w:rPr>
                <w:rFonts w:eastAsia="Arial"/>
                <w:b/>
                <w:color w:val="000000"/>
                <w:sz w:val="24"/>
                <w:szCs w:val="24"/>
              </w:rPr>
            </w:pPr>
            <w:r>
              <w:rPr>
                <w:rFonts w:eastAsia="Arial"/>
                <w:b/>
                <w:color w:val="000000"/>
                <w:sz w:val="24"/>
                <w:szCs w:val="24"/>
              </w:rPr>
              <w:t>"Supplier's Proposals"</w:t>
            </w:r>
          </w:p>
        </w:tc>
        <w:tc>
          <w:tcPr>
            <w:tcW w:w="5075" w:type="dxa"/>
          </w:tcPr>
          <w:p w14:paraId="619D4C7B" w14:textId="77777777" w:rsidR="000961A2" w:rsidRDefault="0041703E">
            <w:pPr>
              <w:numPr>
                <w:ilvl w:val="0"/>
                <w:numId w:val="2"/>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has the meaning given to it in Paragraph 6.3 of this Schedule;</w:t>
            </w:r>
          </w:p>
        </w:tc>
      </w:tr>
    </w:tbl>
    <w:p w14:paraId="619D4C7D" w14:textId="77777777"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BCDR Plan</w:t>
      </w:r>
    </w:p>
    <w:p w14:paraId="619D4C7E"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The Buyer and the Supplier recognise that, where specified in Schedule 4 (Framework Management), CCS shall have the right to enforce the Buyer's rights under this Schedule.</w:t>
      </w:r>
    </w:p>
    <w:p w14:paraId="619D4C7F"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 xml:space="preserve">At least ninety (90) Working Days prior to the Start Date the Supplier shall prepare and deliver to the Buyer for the Buyer’s written approval a plan (a </w:t>
      </w:r>
      <w:r>
        <w:rPr>
          <w:rFonts w:eastAsia="Arial"/>
          <w:b/>
          <w:color w:val="000000"/>
          <w:sz w:val="24"/>
          <w:szCs w:val="24"/>
        </w:rPr>
        <w:t>“BCDR Plan”</w:t>
      </w:r>
      <w:r>
        <w:rPr>
          <w:rFonts w:eastAsia="Arial"/>
          <w:color w:val="000000"/>
          <w:sz w:val="24"/>
          <w:szCs w:val="24"/>
        </w:rPr>
        <w:t>), which shall detail the processes and arrangements that the Supplier shall follow to:</w:t>
      </w:r>
    </w:p>
    <w:p w14:paraId="619D4C80"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ensure continuity of the business processes and operations supported by the Services following any failure or disruption of any element of the Deliverables; and</w:t>
      </w:r>
    </w:p>
    <w:p w14:paraId="619D4C81"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recovery of the Deliverables in the event of a Disaster </w:t>
      </w:r>
    </w:p>
    <w:p w14:paraId="619D4C82" w14:textId="77777777"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divided into three sections:</w:t>
      </w:r>
    </w:p>
    <w:p w14:paraId="619D4C83"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Section 1 which shall set out general principles applicable to the BCDR Plan; </w:t>
      </w:r>
    </w:p>
    <w:p w14:paraId="619D4C84"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 xml:space="preserve">Section 2 which shall relate to business continuity (the </w:t>
      </w:r>
      <w:r>
        <w:rPr>
          <w:rFonts w:eastAsia="Arial"/>
          <w:b/>
          <w:color w:val="000000"/>
          <w:sz w:val="24"/>
          <w:szCs w:val="24"/>
        </w:rPr>
        <w:t>"Business Continuity Plan"</w:t>
      </w:r>
      <w:r>
        <w:rPr>
          <w:rFonts w:eastAsia="Arial"/>
          <w:color w:val="000000"/>
          <w:sz w:val="24"/>
          <w:szCs w:val="24"/>
        </w:rPr>
        <w:t>); and</w:t>
      </w:r>
    </w:p>
    <w:p w14:paraId="619D4C85"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6" w:name="_heading=h.tyjcwt" w:colFirst="0" w:colLast="0"/>
      <w:bookmarkEnd w:id="6"/>
      <w:r>
        <w:rPr>
          <w:rFonts w:eastAsia="Arial"/>
          <w:color w:val="000000"/>
          <w:sz w:val="24"/>
          <w:szCs w:val="24"/>
        </w:rPr>
        <w:t xml:space="preserve">Section 3 which shall relate to disaster recovery (the </w:t>
      </w:r>
      <w:r>
        <w:rPr>
          <w:rFonts w:eastAsia="Arial"/>
          <w:b/>
          <w:color w:val="000000"/>
          <w:sz w:val="24"/>
          <w:szCs w:val="24"/>
        </w:rPr>
        <w:t>"Disaster Recovery Plan"</w:t>
      </w:r>
      <w:r>
        <w:rPr>
          <w:rFonts w:eastAsia="Arial"/>
          <w:color w:val="000000"/>
          <w:sz w:val="24"/>
          <w:szCs w:val="24"/>
        </w:rPr>
        <w:t>).</w:t>
      </w:r>
    </w:p>
    <w:p w14:paraId="619D4C86"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7" w:name="_heading=h.3dy6vkm" w:colFirst="0" w:colLast="0"/>
      <w:bookmarkEnd w:id="7"/>
      <w:r>
        <w:rPr>
          <w:rFonts w:eastAsia="Arial"/>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619D4C87" w14:textId="77777777"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bookmarkStart w:id="8" w:name="_heading=h.1t3h5sf" w:colFirst="0" w:colLast="0"/>
      <w:bookmarkEnd w:id="8"/>
      <w:r>
        <w:rPr>
          <w:rFonts w:ascii="Arial Bold" w:eastAsia="Arial Bold" w:hAnsi="Arial Bold" w:cs="Arial Bold"/>
          <w:b/>
          <w:color w:val="000000"/>
          <w:sz w:val="24"/>
          <w:szCs w:val="24"/>
        </w:rPr>
        <w:t>General Principles of the BCDR Plan (Section 1)</w:t>
      </w:r>
    </w:p>
    <w:p w14:paraId="619D4C88" w14:textId="77777777"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Section 1 of the BCDR Plan shall:</w:t>
      </w:r>
    </w:p>
    <w:p w14:paraId="619D4C89"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how the business continuity and disaster recovery elements of the BCDR Plan link to each other;</w:t>
      </w:r>
    </w:p>
    <w:p w14:paraId="619D4C8A"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details of how the invocation of any element of the BCDR Plan may impact upon the provision of the Deliverables and any goods and/or services provided to the Buyer by a Related Supplier;</w:t>
      </w:r>
    </w:p>
    <w:p w14:paraId="619D4C8B"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an obligation upon the Supplier to liaise with the Buyer and any Related Suppliers with respect to business continuity and disaster recovery;</w:t>
      </w:r>
    </w:p>
    <w:p w14:paraId="619D4C8C"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 how the BCDR Plan interoperates with any overarching disaster recovery or business continuity plan of the Buyer and any of its other Related Supplier in each case as notified to the Supplier by the Buyer from time to time;</w:t>
      </w:r>
    </w:p>
    <w:p w14:paraId="619D4C8D"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communication strategy including details of an incident and problem management service and advice and help desk facility which can be accessed via multiple channels;</w:t>
      </w:r>
    </w:p>
    <w:p w14:paraId="619D4C8E" w14:textId="77777777" w:rsidR="000961A2" w:rsidRDefault="0041703E">
      <w:pPr>
        <w:keepNext/>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contain a risk analysis, including:</w:t>
      </w:r>
    </w:p>
    <w:p w14:paraId="619D4C8F" w14:textId="77777777" w:rsidR="000961A2" w:rsidRDefault="0041703E">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failure or disruption scenarios and assessments of likely frequency of occurrence;</w:t>
      </w:r>
    </w:p>
    <w:p w14:paraId="619D4C90" w14:textId="77777777" w:rsidR="000961A2" w:rsidRDefault="0041703E">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identification of any single points of failure within the provision of Deliverables and processes for managing those risks;</w:t>
      </w:r>
    </w:p>
    <w:p w14:paraId="619D4C91" w14:textId="77777777" w:rsidR="000961A2" w:rsidRDefault="0041703E">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identification of risks arising from the interaction of the provision of Deliverables with the goods and/or services provided by a Related Supplier; and</w:t>
      </w:r>
    </w:p>
    <w:p w14:paraId="619D4C92" w14:textId="77777777" w:rsidR="000961A2" w:rsidRDefault="0041703E">
      <w:pPr>
        <w:numPr>
          <w:ilvl w:val="3"/>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 business impact analysis of different anticipated failures or disruptions;</w:t>
      </w:r>
    </w:p>
    <w:p w14:paraId="619D4C93"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documentation of processes, including business processes, and procedures;</w:t>
      </w:r>
    </w:p>
    <w:p w14:paraId="619D4C94"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key contact details for the Supplier (and any Subcontractors) and for the Buyer;</w:t>
      </w:r>
    </w:p>
    <w:p w14:paraId="619D4C95"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procedures for reverting to "normal service";</w:t>
      </w:r>
    </w:p>
    <w:p w14:paraId="619D4C96"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method(s) of recovering or updating data collected (or which ought to have been collected) during a failure or disruption to minimise data loss;</w:t>
      </w:r>
    </w:p>
    <w:p w14:paraId="619D4C97"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identify the responsibilities (if any) that the Buyer has agreed it will assume in the event of the invocation of the BCDR Plan; and</w:t>
      </w:r>
    </w:p>
    <w:p w14:paraId="619D4C98"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provide for the provision of technical assistance to key contacts at the Buyer as required by the Buyer to inform decisions in support of the Buyer’s business continuity plans.</w:t>
      </w:r>
    </w:p>
    <w:p w14:paraId="619D4C99" w14:textId="77777777"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designed so as to ensure that:</w:t>
      </w:r>
    </w:p>
    <w:p w14:paraId="619D4C9A"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Deliverables are provided in accordance with this Contract at all times during and after the invocation of the BCDR Plan;</w:t>
      </w:r>
    </w:p>
    <w:p w14:paraId="619D4C9B"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adverse impact of any Disaster is minimised as far as reasonably possible; </w:t>
      </w:r>
    </w:p>
    <w:p w14:paraId="619D4C9C"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complies with the relevant provisions of ISO/IEC 27002; ISO22301/ISO22313   and all other industry standards from time to time in force; and</w:t>
      </w:r>
    </w:p>
    <w:p w14:paraId="619D4C9D"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it details a process for the management of disaster recovery testing.</w:t>
      </w:r>
    </w:p>
    <w:p w14:paraId="619D4C9E"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BCDR Plan shall be upgradeable and sufficiently flexible to support any changes to the Deliverables and the business operations supported by the provision of Deliverables.</w:t>
      </w:r>
    </w:p>
    <w:p w14:paraId="619D4C9F"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619D4CA0" w14:textId="77777777"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Business Continuity (Section 2)</w:t>
      </w:r>
    </w:p>
    <w:p w14:paraId="619D4CA1"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9" w:name="_heading=h.4d34og8" w:colFirst="0" w:colLast="0"/>
      <w:bookmarkEnd w:id="9"/>
      <w:r>
        <w:rPr>
          <w:rFonts w:eastAsia="Arial"/>
          <w:color w:val="000000"/>
          <w:sz w:val="24"/>
          <w:szCs w:val="24"/>
        </w:rPr>
        <w:t xml:space="preserve">The Business Continuity Plan shall set out the arrangements that are to be invoked to ensure that the business processes facilitated by the provision of </w:t>
      </w:r>
      <w:r>
        <w:rPr>
          <w:rFonts w:eastAsia="Arial"/>
          <w:color w:val="000000"/>
          <w:sz w:val="24"/>
          <w:szCs w:val="24"/>
        </w:rPr>
        <w:lastRenderedPageBreak/>
        <w:t>Deliverables remain supported and to ensure continuity of the business operations supported by the Services including:</w:t>
      </w:r>
    </w:p>
    <w:p w14:paraId="619D4CA2"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alternative processes, options and responsibilities that may be adopted in the event of a failure in or disruption to the provision of Deliverables; and</w:t>
      </w:r>
    </w:p>
    <w:p w14:paraId="619D4CA3"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steps to be taken by the Supplier upon resumption of the provision of Deliverables in order to address the effect of the failure or disruption.</w:t>
      </w:r>
    </w:p>
    <w:p w14:paraId="619D4CA4" w14:textId="77777777"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Business Continuity Plan shall:</w:t>
      </w:r>
    </w:p>
    <w:p w14:paraId="619D4CA5"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 the various possible levels of failures of or disruptions to the provision of Deliverables;</w:t>
      </w:r>
    </w:p>
    <w:p w14:paraId="619D4CA6"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0" w:name="_heading=h.2s8eyo1" w:colFirst="0" w:colLast="0"/>
      <w:bookmarkEnd w:id="10"/>
      <w:r>
        <w:rPr>
          <w:rFonts w:eastAsia="Arial"/>
          <w:color w:val="000000"/>
          <w:sz w:val="24"/>
          <w:szCs w:val="24"/>
        </w:rPr>
        <w:t>set out the goods and/or services to be provided and the steps to be taken to remedy the different levels of failures of and disruption to the Deliverables;</w:t>
      </w:r>
    </w:p>
    <w:p w14:paraId="619D4CA7"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619D4CA8"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set out the circumstances in which the Business Continuity Plan is invoked.</w:t>
      </w:r>
    </w:p>
    <w:p w14:paraId="619D4CA9" w14:textId="77777777"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Disaster Recovery (Section 3)</w:t>
      </w:r>
    </w:p>
    <w:p w14:paraId="619D4CAA"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11" w:name="_heading=h.17dp8vu" w:colFirst="0" w:colLast="0"/>
      <w:bookmarkEnd w:id="11"/>
      <w:r>
        <w:rPr>
          <w:rFonts w:eastAsia="Arial"/>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619D4CAB" w14:textId="77777777"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Supplier's BCDR Plan shall include an approach to business continuity and disaster recovery that addresses the following:</w:t>
      </w:r>
    </w:p>
    <w:p w14:paraId="619D4CAC"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access to the Buyer Premises;</w:t>
      </w:r>
    </w:p>
    <w:p w14:paraId="619D4CAD"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utilities to the Buyer Premises;</w:t>
      </w:r>
    </w:p>
    <w:p w14:paraId="619D4CAE"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the Supplier's helpdesk or CAFM system;</w:t>
      </w:r>
    </w:p>
    <w:p w14:paraId="619D4CAF"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loss of a Subcontractor;</w:t>
      </w:r>
    </w:p>
    <w:p w14:paraId="619D4CB0"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emergency notification and escalation process;</w:t>
      </w:r>
    </w:p>
    <w:p w14:paraId="619D4CB1"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contact lists;</w:t>
      </w:r>
    </w:p>
    <w:p w14:paraId="619D4CB2"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staff training and awareness;</w:t>
      </w:r>
    </w:p>
    <w:p w14:paraId="619D4CB3"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BCDR Plan testing; </w:t>
      </w:r>
    </w:p>
    <w:p w14:paraId="619D4CB4"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post implementation review process; </w:t>
      </w:r>
    </w:p>
    <w:p w14:paraId="619D4CB5"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lastRenderedPageBreak/>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619D4CB6"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details of how the Supplier shall ensure compliance with security standards ensuring that compliance is maintained for any period during which the Disaster Recovery Plan is invoked;</w:t>
      </w:r>
    </w:p>
    <w:p w14:paraId="619D4CB7"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access controls to any disaster recovery sites used by the Supplier in relation to its obligations pursuant to this Schedule; and</w:t>
      </w:r>
    </w:p>
    <w:p w14:paraId="619D4CB8"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testing and management arrangements.</w:t>
      </w:r>
    </w:p>
    <w:p w14:paraId="619D4CB9" w14:textId="77777777" w:rsidR="000961A2" w:rsidRDefault="0041703E">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Review and changing the BCDR Plan</w:t>
      </w:r>
    </w:p>
    <w:p w14:paraId="619D4CBA" w14:textId="77777777"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12" w:name="_heading=h.3rdcrjn" w:colFirst="0" w:colLast="0"/>
      <w:bookmarkEnd w:id="12"/>
      <w:r>
        <w:rPr>
          <w:rFonts w:eastAsia="Arial"/>
          <w:color w:val="000000"/>
          <w:sz w:val="24"/>
          <w:szCs w:val="24"/>
        </w:rPr>
        <w:t>The Supplier shall review the BCDR Plan:</w:t>
      </w:r>
    </w:p>
    <w:p w14:paraId="619D4CBB"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3" w:name="_heading=h.26in1rg" w:colFirst="0" w:colLast="0"/>
      <w:bookmarkEnd w:id="13"/>
      <w:r>
        <w:rPr>
          <w:rFonts w:eastAsia="Arial"/>
          <w:color w:val="000000"/>
          <w:sz w:val="24"/>
          <w:szCs w:val="24"/>
        </w:rPr>
        <w:t>on a regular basis and as a minimum once every six (6) Months;</w:t>
      </w:r>
    </w:p>
    <w:p w14:paraId="619D4CBC"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4" w:name="_heading=h.lnxbz9" w:colFirst="0" w:colLast="0"/>
      <w:bookmarkEnd w:id="14"/>
      <w:r>
        <w:rPr>
          <w:rFonts w:eastAsia="Arial"/>
          <w:color w:val="000000"/>
          <w:sz w:val="24"/>
          <w:szCs w:val="24"/>
        </w:rPr>
        <w:t>within three (3) calendar Months of the BCDR Plan (or any part) having been invoked pursuant to Paragraph 7; and</w:t>
      </w:r>
    </w:p>
    <w:p w14:paraId="619D4CBD"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15" w:name="_heading=h.35nkun2" w:colFirst="0" w:colLast="0"/>
      <w:bookmarkEnd w:id="15"/>
      <w:r>
        <w:rPr>
          <w:rFonts w:eastAsia="Arial"/>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619D4CBE"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16" w:name="_heading=h.1ksv4uv" w:colFirst="0" w:colLast="0"/>
      <w:bookmarkEnd w:id="16"/>
      <w:r>
        <w:rPr>
          <w:rFonts w:eastAsia="Arial"/>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619D4CBF"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17" w:name="_heading=h.44sinio" w:colFirst="0" w:colLast="0"/>
      <w:bookmarkEnd w:id="17"/>
      <w:r>
        <w:rPr>
          <w:rFonts w:eastAsia="Arial"/>
          <w:color w:val="000000"/>
          <w:sz w:val="24"/>
          <w:szCs w:val="24"/>
        </w:rPr>
        <w:t xml:space="preserve">The Supplier shall, within twenty (20) Working Days of the conclusion of each such review of the BCDR Plan, provide to the Buyer a report (a </w:t>
      </w:r>
      <w:r>
        <w:rPr>
          <w:rFonts w:eastAsia="Arial"/>
          <w:b/>
          <w:color w:val="000000"/>
          <w:sz w:val="24"/>
          <w:szCs w:val="24"/>
        </w:rPr>
        <w:t>"Review Report"</w:t>
      </w:r>
      <w:r>
        <w:rPr>
          <w:rFonts w:eastAsia="Arial"/>
          <w:color w:val="000000"/>
          <w:sz w:val="24"/>
          <w:szCs w:val="24"/>
        </w:rPr>
        <w:t xml:space="preserve">) setting out the Supplier's proposals (the </w:t>
      </w:r>
      <w:r>
        <w:rPr>
          <w:rFonts w:eastAsia="Arial"/>
          <w:b/>
          <w:color w:val="000000"/>
          <w:sz w:val="24"/>
          <w:szCs w:val="24"/>
        </w:rPr>
        <w:t>"Supplier's Proposals"</w:t>
      </w:r>
      <w:r>
        <w:rPr>
          <w:rFonts w:eastAsia="Arial"/>
          <w:color w:val="000000"/>
          <w:sz w:val="24"/>
          <w:szCs w:val="24"/>
        </w:rPr>
        <w:t>) for addressing any changes in the risk profile and its proposals for amendments to the BCDR Plan.</w:t>
      </w:r>
    </w:p>
    <w:p w14:paraId="619D4CC0"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18" w:name="_heading=h.2jxsxqh" w:colFirst="0" w:colLast="0"/>
      <w:bookmarkEnd w:id="18"/>
      <w:r>
        <w:rPr>
          <w:rFonts w:eastAsia="Arial"/>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w:t>
      </w:r>
      <w:r>
        <w:rPr>
          <w:rFonts w:eastAsia="Arial"/>
          <w:color w:val="000000"/>
          <w:sz w:val="24"/>
          <w:szCs w:val="24"/>
        </w:rPr>
        <w:lastRenderedPageBreak/>
        <w:t xml:space="preserve">the Supplier's Proposals within twenty (20) Working Days of its submission, then such Dispute shall be resolved in accordance with the Dispute Resolution Procedure. </w:t>
      </w:r>
    </w:p>
    <w:p w14:paraId="619D4CC1"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619D4CC2" w14:textId="77777777" w:rsidR="000961A2" w:rsidRDefault="0041703E">
      <w:pPr>
        <w:keepNext/>
        <w:numPr>
          <w:ilvl w:val="0"/>
          <w:numId w:val="1"/>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19" w:name="_heading=h.z337ya" w:colFirst="0" w:colLast="0"/>
      <w:bookmarkEnd w:id="19"/>
      <w:r>
        <w:rPr>
          <w:rFonts w:ascii="Arial Bold" w:eastAsia="Arial Bold" w:hAnsi="Arial Bold" w:cs="Arial Bold"/>
          <w:b/>
          <w:color w:val="000000"/>
          <w:sz w:val="24"/>
          <w:szCs w:val="24"/>
        </w:rPr>
        <w:t>Testing the BCDR Plan</w:t>
      </w:r>
    </w:p>
    <w:p w14:paraId="619D4CC3" w14:textId="77777777"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20" w:name="_heading=h.3j2qqm3" w:colFirst="0" w:colLast="0"/>
      <w:bookmarkEnd w:id="20"/>
      <w:r>
        <w:rPr>
          <w:rFonts w:eastAsia="Arial"/>
          <w:color w:val="000000"/>
          <w:sz w:val="24"/>
          <w:szCs w:val="24"/>
        </w:rPr>
        <w:t xml:space="preserve">The Supplier shall test the BCDR Plan: </w:t>
      </w:r>
    </w:p>
    <w:p w14:paraId="619D4CC4"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regularly and in any event not less than once in every Contract Year;</w:t>
      </w:r>
    </w:p>
    <w:p w14:paraId="619D4CC5"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in the event of any major reconfiguration of the Deliverables</w:t>
      </w:r>
    </w:p>
    <w:p w14:paraId="619D4CC6"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at any time where the Buyer considers it necessary (acting in its sole discretion).  </w:t>
      </w:r>
    </w:p>
    <w:p w14:paraId="619D4CC7"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21" w:name="_heading=h.1y810tw" w:colFirst="0" w:colLast="0"/>
      <w:bookmarkEnd w:id="21"/>
      <w:r>
        <w:rPr>
          <w:rFonts w:eastAsia="Arial"/>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619D4CC8"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619D4CC9"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619D4CCA" w14:textId="77777777" w:rsidR="000961A2" w:rsidRDefault="0041703E">
      <w:pPr>
        <w:keepNext/>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Supplier shall, within twenty (20) Working Days of the conclusion of each test, provide to the Buyer a report setting out:</w:t>
      </w:r>
    </w:p>
    <w:p w14:paraId="619D4CCB"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outcome of the test;</w:t>
      </w:r>
    </w:p>
    <w:p w14:paraId="619D4CCC"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failures in the BCDR Plan (including the BCDR Plan's procedures) revealed by the test; and</w:t>
      </w:r>
    </w:p>
    <w:p w14:paraId="619D4CCD" w14:textId="77777777" w:rsidR="000961A2" w:rsidRDefault="0041703E">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proposals for remedying any such failures.</w:t>
      </w:r>
    </w:p>
    <w:p w14:paraId="619D4CCE"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bookmarkStart w:id="22" w:name="_heading=h.4i7ojhp" w:colFirst="0" w:colLast="0"/>
      <w:bookmarkEnd w:id="22"/>
      <w:r>
        <w:rPr>
          <w:rFonts w:eastAsia="Arial"/>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619D4CCF" w14:textId="77777777" w:rsidR="000961A2" w:rsidRDefault="0041703E">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3" w:name="_heading=h.2xcytpi" w:colFirst="0" w:colLast="0"/>
      <w:bookmarkEnd w:id="23"/>
      <w:r>
        <w:rPr>
          <w:rFonts w:ascii="Arial Bold" w:eastAsia="Arial Bold" w:hAnsi="Arial Bold" w:cs="Arial Bold"/>
          <w:b/>
          <w:color w:val="000000"/>
          <w:sz w:val="24"/>
          <w:szCs w:val="24"/>
        </w:rPr>
        <w:lastRenderedPageBreak/>
        <w:t>Invoking the BCDR Plan</w:t>
      </w:r>
    </w:p>
    <w:p w14:paraId="619D4CD0"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19D4CD1" w14:textId="77777777" w:rsidR="000961A2" w:rsidRDefault="0041703E">
      <w:pPr>
        <w:keepNext/>
        <w:numPr>
          <w:ilvl w:val="0"/>
          <w:numId w:val="1"/>
        </w:numPr>
        <w:pBdr>
          <w:top w:val="nil"/>
          <w:left w:val="nil"/>
          <w:bottom w:val="nil"/>
          <w:right w:val="nil"/>
          <w:between w:val="nil"/>
        </w:pBdr>
        <w:tabs>
          <w:tab w:val="left" w:pos="0"/>
        </w:tabs>
        <w:spacing w:before="240"/>
        <w:ind w:left="504"/>
        <w:jc w:val="left"/>
        <w:rPr>
          <w:rFonts w:eastAsia="Arial"/>
          <w:b/>
          <w:smallCaps/>
          <w:color w:val="000000"/>
          <w:sz w:val="24"/>
          <w:szCs w:val="24"/>
        </w:rPr>
      </w:pPr>
      <w:r>
        <w:rPr>
          <w:rFonts w:eastAsia="Arial"/>
          <w:b/>
          <w:smallCaps/>
          <w:color w:val="000000"/>
          <w:sz w:val="24"/>
          <w:szCs w:val="24"/>
        </w:rPr>
        <w:t>C</w:t>
      </w:r>
      <w:r>
        <w:rPr>
          <w:rFonts w:ascii="Arial Bold" w:eastAsia="Arial Bold" w:hAnsi="Arial Bold" w:cs="Arial Bold"/>
          <w:b/>
          <w:color w:val="000000"/>
          <w:sz w:val="24"/>
          <w:szCs w:val="24"/>
        </w:rPr>
        <w:t>ircumstances beyond your control</w:t>
      </w:r>
    </w:p>
    <w:p w14:paraId="619D4CD2" w14:textId="77777777" w:rsidR="000961A2" w:rsidRDefault="0041703E">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sectPr w:rsidR="000961A2">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D4CD5" w14:textId="77777777" w:rsidR="0041703E" w:rsidRDefault="0041703E">
      <w:pPr>
        <w:spacing w:after="0"/>
      </w:pPr>
      <w:r>
        <w:separator/>
      </w:r>
    </w:p>
  </w:endnote>
  <w:endnote w:type="continuationSeparator" w:id="0">
    <w:p w14:paraId="619D4CD6" w14:textId="77777777" w:rsidR="0041703E" w:rsidRDefault="004170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D4CDD" w14:textId="77777777" w:rsidR="000961A2" w:rsidRDefault="000961A2">
    <w:pPr>
      <w:tabs>
        <w:tab w:val="center" w:pos="4513"/>
        <w:tab w:val="right" w:pos="9026"/>
      </w:tabs>
      <w:spacing w:after="0"/>
      <w:ind w:left="0"/>
      <w:rPr>
        <w:rFonts w:ascii="Calibri" w:eastAsia="Calibri" w:hAnsi="Calibri" w:cs="Calibri"/>
        <w:color w:val="A6A6A6"/>
      </w:rPr>
    </w:pPr>
  </w:p>
  <w:p w14:paraId="619D4CDE" w14:textId="77777777" w:rsidR="000961A2" w:rsidRDefault="0041703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sidR="00C4249D">
      <w:rPr>
        <w:sz w:val="20"/>
      </w:rPr>
      <w:t>6186 – Fuel Cards VI</w:t>
    </w:r>
  </w:p>
  <w:p w14:paraId="619D4CDF" w14:textId="77777777" w:rsidR="000961A2" w:rsidRDefault="0041703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C4249D">
      <w:rPr>
        <w:rFonts w:eastAsia="Arial"/>
        <w:noProof/>
        <w:color w:val="000000"/>
        <w:sz w:val="20"/>
        <w:szCs w:val="20"/>
      </w:rPr>
      <w:t>1</w:t>
    </w:r>
    <w:r>
      <w:rPr>
        <w:rFonts w:eastAsia="Arial"/>
        <w:color w:val="000000"/>
        <w:sz w:val="20"/>
        <w:szCs w:val="20"/>
      </w:rPr>
      <w:fldChar w:fldCharType="end"/>
    </w:r>
  </w:p>
  <w:p w14:paraId="619D4CE0" w14:textId="77777777" w:rsidR="000961A2" w:rsidRDefault="0041703E">
    <w:pPr>
      <w:pBdr>
        <w:top w:val="nil"/>
        <w:left w:val="nil"/>
        <w:bottom w:val="nil"/>
        <w:right w:val="nil"/>
        <w:between w:val="nil"/>
      </w:pBdr>
      <w:tabs>
        <w:tab w:val="center" w:pos="4513"/>
        <w:tab w:val="right" w:pos="9026"/>
      </w:tabs>
      <w:spacing w:after="0"/>
      <w:ind w:left="0"/>
      <w:rPr>
        <w:rFonts w:eastAsia="Arial"/>
        <w:color w:val="A6A6A6"/>
        <w:sz w:val="20"/>
        <w:szCs w:val="20"/>
      </w:rPr>
    </w:pPr>
    <w:r>
      <w:rPr>
        <w:rFonts w:eastAsia="Arial"/>
        <w:color w:val="000000"/>
        <w:sz w:val="20"/>
        <w:szCs w:val="20"/>
      </w:rPr>
      <w:t>Model Version: v3.</w:t>
    </w:r>
    <w:r>
      <w:rPr>
        <w:sz w:val="20"/>
        <w:szCs w:val="2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D4CE2" w14:textId="77777777" w:rsidR="000961A2" w:rsidRDefault="0041703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14:paraId="619D4CE3" w14:textId="77777777" w:rsidR="000961A2" w:rsidRDefault="0041703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t>-</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r>
      <w:rPr>
        <w:rFonts w:eastAsia="Arial"/>
        <w:color w:val="000000"/>
        <w:sz w:val="20"/>
        <w:szCs w:val="20"/>
      </w:rPr>
      <w:t>-</w:t>
    </w:r>
  </w:p>
  <w:p w14:paraId="619D4CE4" w14:textId="77777777" w:rsidR="000961A2" w:rsidRDefault="0041703E">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v2.9</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9D4CD3" w14:textId="77777777" w:rsidR="0041703E" w:rsidRDefault="0041703E">
      <w:pPr>
        <w:spacing w:after="0"/>
      </w:pPr>
      <w:r>
        <w:separator/>
      </w:r>
    </w:p>
  </w:footnote>
  <w:footnote w:type="continuationSeparator" w:id="0">
    <w:p w14:paraId="619D4CD4" w14:textId="77777777" w:rsidR="0041703E" w:rsidRDefault="004170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D4CD8" w14:textId="77777777" w:rsidR="000961A2" w:rsidRDefault="0041703E">
    <w:pPr>
      <w:tabs>
        <w:tab w:val="center" w:pos="4513"/>
        <w:tab w:val="right" w:pos="9026"/>
      </w:tabs>
      <w:spacing w:after="0"/>
      <w:ind w:left="0"/>
      <w:jc w:val="left"/>
      <w:rPr>
        <w:sz w:val="20"/>
        <w:szCs w:val="20"/>
      </w:rPr>
    </w:pPr>
    <w:r>
      <w:rPr>
        <w:b/>
        <w:sz w:val="20"/>
        <w:szCs w:val="20"/>
      </w:rPr>
      <w:t>Call-Off Schedule 8 (Business Continuity and Disaster Recovery)</w:t>
    </w:r>
  </w:p>
  <w:p w14:paraId="619D4CD9" w14:textId="77777777" w:rsidR="000961A2" w:rsidRDefault="0041703E">
    <w:pPr>
      <w:tabs>
        <w:tab w:val="center" w:pos="4513"/>
        <w:tab w:val="right" w:pos="9026"/>
      </w:tabs>
      <w:spacing w:after="0"/>
      <w:ind w:left="0"/>
      <w:jc w:val="left"/>
      <w:rPr>
        <w:sz w:val="20"/>
        <w:szCs w:val="20"/>
      </w:rPr>
    </w:pPr>
    <w:r>
      <w:rPr>
        <w:sz w:val="20"/>
        <w:szCs w:val="20"/>
      </w:rPr>
      <w:t>Call-Off Ref:</w:t>
    </w:r>
  </w:p>
  <w:p w14:paraId="619D4CDA" w14:textId="5010517C" w:rsidR="000961A2" w:rsidRDefault="0041703E">
    <w:pPr>
      <w:tabs>
        <w:tab w:val="center" w:pos="4513"/>
        <w:tab w:val="right" w:pos="9026"/>
      </w:tabs>
      <w:spacing w:after="0"/>
      <w:ind w:left="0"/>
      <w:jc w:val="left"/>
      <w:rPr>
        <w:sz w:val="20"/>
        <w:szCs w:val="20"/>
      </w:rPr>
    </w:pPr>
    <w:r>
      <w:rPr>
        <w:sz w:val="20"/>
        <w:szCs w:val="20"/>
      </w:rPr>
      <w:t xml:space="preserve">Crown Copyright </w:t>
    </w:r>
    <w:r w:rsidR="00284D7A">
      <w:rPr>
        <w:sz w:val="20"/>
        <w:szCs w:val="20"/>
      </w:rPr>
      <w:t>2021</w:t>
    </w:r>
  </w:p>
  <w:p w14:paraId="619D4CDB" w14:textId="77777777" w:rsidR="000961A2" w:rsidRDefault="000961A2">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92A8C"/>
    <w:multiLevelType w:val="multilevel"/>
    <w:tmpl w:val="DADCB3F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3DD0A37"/>
    <w:multiLevelType w:val="multilevel"/>
    <w:tmpl w:val="09CE8BA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1A2"/>
    <w:rsid w:val="000961A2"/>
    <w:rsid w:val="00284D7A"/>
    <w:rsid w:val="0041703E"/>
    <w:rsid w:val="00C4249D"/>
    <w:rsid w:val="00E438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D4C5E"/>
  <w15:docId w15:val="{DAD233E5-7763-444E-AADB-4F1C8D44E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ind w:left="360" w:hanging="36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Gx7wYsBFgSNri720XsdalFYgbw==">AMUW2mW51wQ/ytkdEmDlQZdH0kNqvT/Ium9qO68BZ1xZDIJvKCt7ioVeXEdxYjyKCuxrcopWeHU/W/L8Tnb/+0uhQ0+SyCS+34WjXwT5iT9N173HJ2ip8CL8T77Z36mewUPS3EWNrKa2k3ALilnyc4mBWpJQD2JMB6xSDi3ag/WcvwEfevo4CHqroJE4MVTWn5YGTvttzezTwcfgGidLvSyrWkfLJKW/jm12hf+TNcr9xXvDsPWUhiZ4NZ6cLltV+MFmziifjpZ8gzR1PlR4kLfEjmciaWfk/mbPirvB9B+/N87nRYn3gOqJOYlrQ2XGCfiEdrXWWJczRrx14hktg2l4qgWFPDgHqyk614XwaqvjiPP6ksb4fV4NTb35ThAjC/QQ6pwU5UOgT/aLtnEmNm9InTK/D6GdyASqIOBOMvNhgM43Hhs6y2frLMSUCh3xyYI/G5+8Pvj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2030</Words>
  <Characters>11575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Sophie Lewis</dc:creator>
  <cp:lastModifiedBy>Mark Cunliffe</cp:lastModifiedBy>
  <cp:revision>4</cp:revision>
  <dcterms:created xsi:type="dcterms:W3CDTF">2021-07-21T09:33:00Z</dcterms:created>
  <dcterms:modified xsi:type="dcterms:W3CDTF">2021-11-02T12:39:00Z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